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exact"/>
        <w:jc w:val="both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附件2：</w:t>
      </w:r>
    </w:p>
    <w:p>
      <w:pPr>
        <w:snapToGrid w:val="0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乡镇（街道）老年学校</w:t>
      </w:r>
    </w:p>
    <w:p>
      <w:pPr>
        <w:snapToGrid w:val="0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2023年度省级示范校评估考核标准</w:t>
      </w:r>
    </w:p>
    <w:tbl>
      <w:tblPr>
        <w:tblStyle w:val="4"/>
        <w:tblW w:w="9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018"/>
        <w:gridCol w:w="6020"/>
        <w:gridCol w:w="915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28"/>
              </w:rPr>
              <w:t>项目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28"/>
              </w:rPr>
              <w:t>条目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28"/>
              </w:rPr>
              <w:t>基本要求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28"/>
              </w:rPr>
              <w:t>标准</w:t>
            </w:r>
          </w:p>
          <w:p>
            <w:pPr>
              <w:spacing w:line="38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28"/>
              </w:rPr>
              <w:t>分值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28"/>
              </w:rPr>
              <w:t>自评</w:t>
            </w:r>
          </w:p>
          <w:p>
            <w:pPr>
              <w:spacing w:line="38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  <w:lang w:eastAsia="zh-CN"/>
              </w:rPr>
              <w:t>政</w:t>
            </w:r>
          </w:p>
          <w:p>
            <w:pPr>
              <w:jc w:val="center"/>
              <w:rPr>
                <w:rFonts w:hint="eastAsia" w:ascii="黑体" w:hAnsi="黑体" w:eastAsia="黑体" w:cs="仿宋_GB2312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  <w:lang w:eastAsia="zh-CN"/>
              </w:rPr>
              <w:t>治</w:t>
            </w:r>
          </w:p>
          <w:p>
            <w:pPr>
              <w:jc w:val="center"/>
              <w:rPr>
                <w:rFonts w:hint="eastAsia" w:ascii="黑体" w:hAnsi="黑体" w:eastAsia="黑体" w:cs="仿宋_GB2312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  <w:lang w:eastAsia="zh-CN"/>
              </w:rPr>
              <w:t>建</w:t>
            </w:r>
          </w:p>
          <w:p>
            <w:pPr>
              <w:jc w:val="center"/>
              <w:rPr>
                <w:rFonts w:hint="eastAsia" w:ascii="黑体" w:hAnsi="黑体" w:eastAsia="黑体" w:cs="仿宋_GB2312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  <w:lang w:eastAsia="zh-CN"/>
              </w:rPr>
              <w:t>设</w:t>
            </w:r>
          </w:p>
          <w:p>
            <w:pPr>
              <w:pStyle w:val="2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仿宋_GB2312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黑体" w:hAnsi="黑体" w:eastAsia="黑体" w:cs="仿宋_GB2312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  <w:t>组织</w:t>
            </w:r>
          </w:p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  <w:t>建设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重视党建工作，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按有关规定建立健全党组织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常态化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开展活动。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  <w:t>组织</w:t>
            </w:r>
          </w:p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  <w:t>生活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/>
              </w:rPr>
              <w:t>党建制度健全，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/>
              </w:rPr>
              <w:t>“三会一课”有序。并有记录。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发挥党员先锋模范作用，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组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建以党员为主导的志愿者队伍，开展各类志愿服务活动。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</w:pPr>
          </w:p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  <w:t>课程思政</w:t>
            </w:r>
          </w:p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坚持政治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立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校原则，深入学习贯彻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党的二十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大精神，注重思想政治教育，引导老年学员坚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定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信念，不忘初心，牢记使命，保持革命优良传统。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设立思想政治教育课程。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  <w:t>思政</w:t>
            </w:r>
          </w:p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  <w:t>活动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深入学习贯彻习近平新时代中国特色社会主义思想，开展以社会主义核心价值观、党史国史、革命传统教育、传统文化、时事政策为主要内容的学习活动。每学期不少于1个课时。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</w:rPr>
              <w:t>办</w:t>
            </w:r>
          </w:p>
          <w:p>
            <w:pPr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</w:rPr>
              <w:t>学</w:t>
            </w:r>
          </w:p>
          <w:p>
            <w:pPr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</w:rPr>
              <w:t>条</w:t>
            </w:r>
          </w:p>
          <w:p>
            <w:pPr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</w:rPr>
              <w:t>件</w:t>
            </w:r>
          </w:p>
          <w:p>
            <w:pPr>
              <w:jc w:val="center"/>
              <w:rPr>
                <w:rFonts w:hint="eastAsia" w:ascii="黑体" w:hAnsi="黑体" w:eastAsia="黑体" w:cs="仿宋_GB2312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黑体" w:hAnsi="黑体" w:eastAsia="黑体" w:cs="仿宋_GB2312"/>
                <w:sz w:val="30"/>
                <w:szCs w:val="30"/>
                <w:lang w:val="en-US" w:eastAsia="zh-CN"/>
              </w:rPr>
              <w:t>100</w:t>
            </w:r>
            <w:r>
              <w:rPr>
                <w:rFonts w:hint="eastAsia" w:ascii="黑体" w:hAnsi="黑体" w:eastAsia="黑体" w:cs="仿宋_GB2312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领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导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6.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乡镇（街道）党委、政府明确有领导分管老年教育工作。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</w:p>
        </w:tc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7.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乡镇（街道）党委、政府主要领导每年听取工作汇报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专题研究解决办学中实际困难及问题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次以上。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</w:p>
        </w:tc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  <w:t>将发展老年教育纳入本地经济社会发展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总体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  <w:t>规划</w:t>
            </w:r>
            <w:r>
              <w:rPr>
                <w:rFonts w:hint="eastAsia" w:ascii="仿宋_GB2312" w:hAnsi="Calibri" w:eastAsia="仿宋_GB2312" w:cs="宋体"/>
                <w:b w:val="0"/>
                <w:bCs w:val="0"/>
                <w:color w:val="000000"/>
                <w:spacing w:val="0"/>
                <w:sz w:val="28"/>
                <w:szCs w:val="28"/>
              </w:rPr>
              <w:t>及教育事业发展规划</w:t>
            </w:r>
            <w:r>
              <w:rPr>
                <w:rFonts w:hint="eastAsia" w:ascii="仿宋_GB2312" w:hAnsi="Calibri" w:eastAsia="仿宋_GB2312" w:cs="宋体"/>
                <w:b w:val="0"/>
                <w:bCs w:val="0"/>
                <w:color w:val="000000"/>
                <w:sz w:val="28"/>
                <w:szCs w:val="28"/>
                <w:highlight w:val="none"/>
              </w:rPr>
              <w:t>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</w:p>
        </w:tc>
        <w:tc>
          <w:tcPr>
            <w:tcW w:w="10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9.将老年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学校建设和“老有所学”工作成效列为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乡镇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(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街道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)党政领导干部履行教育职责督导考核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标。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</w:p>
        </w:tc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设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10.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  <w:t>校长、常务副校长各一人，有1-2名兼职工作人员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</w:p>
        </w:tc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工作人员勤奋实干，爱老、孝老、敬老意识强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。专兼职教师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大专以上文化程度占70%以上。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</w:p>
        </w:tc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有能满足教学需求和相对稳定的教师队伍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具有中级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 xml:space="preserve">职称及相关部门认定的专业资质的教师占50%以上。 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</w:p>
        </w:tc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13.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教师爱岗敬业，有奉献精神；有相应的专业知识和实践经验；有完整的教学计划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教案（含多媒体教学课件）。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</w:p>
        </w:tc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14.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善于总结教学经验、改进教学方法，不断调整充实教学内容。突出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地方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文化特色，创建有特色的老年教育教学品牌。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</w:p>
        </w:tc>
        <w:tc>
          <w:tcPr>
            <w:tcW w:w="10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建立健全教师和管理人员的聘任、考核、待遇、激励制度与措施。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</w:p>
        </w:tc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办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施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乡镇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街道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）老年学校校舍面积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00平方米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左右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办学场所相对固定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并有相应的室外活动场地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（包括共享资源）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</w:p>
        </w:tc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7.学校有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：教室、办公室、图书阅览室、娱乐室、书画展示室和多媒体教室（可与文化站等一室多用，但应有老年学校标识）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</w:p>
        </w:tc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有适应现代教学和办公需要的设备，包括多媒体电化教学设备，推动信息技术融入教学过程，其中多媒体教室不少于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间。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</w:p>
        </w:tc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9.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积极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信息化平台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，有专人负责宣传，及时报道办学等动态信息。与当地政府网站、先锋网及省老年大学协会网站保持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联系和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互动。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</w:p>
        </w:tc>
        <w:tc>
          <w:tcPr>
            <w:tcW w:w="10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20.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整合、共享当地文化站、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农技站等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文化体育和科技资源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为老年教育服务。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</w:p>
        </w:tc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办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贯彻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《“老有所学”行动方案》《安徽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“十四五”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老年教育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发展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规划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精神，乡镇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街道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老年学校在校学员数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达到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50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0人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（含分校或教学点），或不少于常住老年人口总数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30%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</w:p>
        </w:tc>
        <w:tc>
          <w:tcPr>
            <w:tcW w:w="10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因地制宜，围绕乡村振兴战略目标，根据当地老年学员实际需求，开设政治法律、思想道德、农业科技、养生保健、职业技能、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智能教育、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代际沟通等课程。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</w:p>
        </w:tc>
        <w:tc>
          <w:tcPr>
            <w:tcW w:w="10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办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费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23.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办学经费纳入乡镇（街道）财政预算，并随当地经济社会和老年教育事业发展逐年增加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年初财政预算按上年度学员数计算，生均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不低于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200元（不包括基建、设备添置、重大活动的专项拨款）。</w:t>
            </w:r>
          </w:p>
        </w:tc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24.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完善经费投入机制,鼓励社会各界捐资和集资助学。形成以财政投入为主、社会资助、学习者等多主体分担的筹措经费机制。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25.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老年教育经费应主要用于老年教育公共服务，合理安排，严格规范。上缴财政的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老年学员学费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全额返还。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</w:rPr>
              <w:t>学</w:t>
            </w:r>
          </w:p>
          <w:p>
            <w:pPr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</w:rPr>
              <w:t>校</w:t>
            </w:r>
          </w:p>
          <w:p>
            <w:pPr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</w:rPr>
              <w:t>管</w:t>
            </w:r>
          </w:p>
          <w:p>
            <w:pPr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</w:rPr>
              <w:t>理</w:t>
            </w:r>
          </w:p>
          <w:p>
            <w:pPr>
              <w:jc w:val="center"/>
              <w:rPr>
                <w:rFonts w:hint="eastAsia" w:ascii="黑体" w:hAnsi="黑体" w:eastAsia="黑体" w:cs="仿宋_GB2312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黑体" w:hAnsi="黑体" w:eastAsia="黑体" w:cs="仿宋_GB2312"/>
                <w:sz w:val="30"/>
                <w:szCs w:val="30"/>
                <w:lang w:val="en-US" w:eastAsia="zh-CN"/>
              </w:rPr>
              <w:t>60</w:t>
            </w:r>
            <w:r>
              <w:rPr>
                <w:rFonts w:hint="eastAsia" w:ascii="黑体" w:hAnsi="黑体" w:eastAsia="黑体" w:cs="仿宋_GB2312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理</w:t>
            </w:r>
          </w:p>
          <w:p>
            <w:pPr>
              <w:spacing w:line="520" w:lineRule="exact"/>
              <w:ind w:left="-6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" w:firstLineChars="2"/>
              <w:jc w:val="both"/>
              <w:textAlignment w:val="auto"/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各项管理符合老年教育教学规律，体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现为教学服务，为老年学员服务。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</w:p>
        </w:tc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规章制度齐全，有明确的管理工作目标和岗位职责，有完善、通畅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的管理组织系统，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有安全、应急管理制度和措施。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有严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格的财务制度。张贴公示。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</w:p>
        </w:tc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" w:firstLineChars="2"/>
              <w:jc w:val="both"/>
              <w:textAlignment w:val="auto"/>
              <w:rPr>
                <w:rFonts w:ascii="仿宋_GB2312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8.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职责明确，考核规范。定期组织工作人员集中业务学习培训。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</w:p>
        </w:tc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9.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完整的、规范的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档案管理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系统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及制度。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</w:p>
        </w:tc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30.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有健全的教学管理制度，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包括教学工作计划、课程安排表、学员花名册、点名簿以及年度工作计划安排和总结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；有健全的管理人员（校长、副校长、班主任、教师职责）制度、班级管理制度、学员守则、课堂文明规则。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</w:p>
        </w:tc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专业设置5门以上，每学期开课1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周以上，每专业科目每周上课不少于2课时。年度教学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课时以上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（含第二、第三课堂）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</w:p>
        </w:tc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乡镇（街道）党政领导每年给学员通报一次经济建设和社会发展情况;学校每学期组织学员参观经济建设或城乡建设成就一次。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</w:p>
        </w:tc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33.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基于校园文化和地域特点开设有一定数量的精品特色课。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</w:p>
        </w:tc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34.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充分运用现代信息技术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和安徽老年远程教育网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，积极开展远程教育，远程教育课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应占总课程1/3左右（近三年开设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门以上网络课程）。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</w:p>
        </w:tc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重视教材建设，采取与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全国、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全省统编、自编、选用相结合的办法，形成适合本校、本地区使用的配套教材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，并集中归档管理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</w:p>
        </w:tc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5" w:firstLineChars="2"/>
              <w:rPr>
                <w:rFonts w:ascii="仿宋_GB2312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6.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积极组织学员开展符合老年人特点、文明健康、丰富多彩的第二、三课堂活动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每学年至少2次。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</w:p>
        </w:tc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7.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重视教学研究、教学评估和教学质量监控，定期开展评教、评学活动；适时举办教学成果交流展示活动，每学年至少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举办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1次。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</w:p>
        </w:tc>
        <w:tc>
          <w:tcPr>
            <w:tcW w:w="10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8.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有完整的教学、教师、学员档案资料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教学成果、重大活动和事件有详细记载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所有档案资料整理有序，保存完整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，并实行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电子化管理。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</w:p>
        </w:tc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化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39.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充分发挥校园文化的教育、引导、鼓舞和塑造的特殊功能，打造丰富活跃、和谐欢乐的校园文化长廊，形成环境优美、校风纯朴、文化教育氛围浓厚的银发族群乐园。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</w:p>
        </w:tc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40.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校园文化长廊基础建设较完备（班级黑板报、校园阅报栏等），相关器具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设施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较齐全。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</w:p>
        </w:tc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41.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有丰富的校园文化内涵。突出宣传习近平新时代中国特色社会主义思想，社会主义核心价值观要义，中华民族爱老、孝老、敬老的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典型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范例，以及老年教育的办学理念、宗旨和校训等。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</w:p>
        </w:tc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42.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组建有多形式的文体娱乐团队，有组织学员参加各种联欢、演出、展览、竞赛等活动。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</w:p>
        </w:tc>
        <w:tc>
          <w:tcPr>
            <w:tcW w:w="10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43.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强化老年教育宣传，积极向上级新闻单位投稿，报道老年教育动态，扩大社会影响。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22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</w:rPr>
              <w:t>办</w:t>
            </w:r>
          </w:p>
          <w:p>
            <w:pPr>
              <w:spacing w:line="460" w:lineRule="exact"/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</w:rPr>
              <w:t>学</w:t>
            </w:r>
          </w:p>
          <w:p>
            <w:pPr>
              <w:spacing w:line="460" w:lineRule="exact"/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</w:rPr>
              <w:t>成</w:t>
            </w:r>
          </w:p>
          <w:p>
            <w:pPr>
              <w:spacing w:line="460" w:lineRule="exact"/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</w:rPr>
              <w:t>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通过组织各种志愿服务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为实施乡村振兴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美丽乡村建设管理、维护社会稳定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帮扶留守儿童等多方面作贡献，增添正能量。受到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上级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嘉奖、社会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赞誉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有被上一级老年大学或相关部门肯定和推广的教学成果，有被上一级选用的学员书画作品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文章或其他学习成果。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22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6.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开展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针对学校管理、教学效果等方面的问卷调查，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且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学员满意率达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9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%以上，学校的凝聚力和吸引力较强。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黑体" w:hAnsi="黑体" w:eastAsia="黑体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</w:rPr>
              <w:t>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</w:pPr>
            <w:r>
              <w:rPr>
                <w:rFonts w:hint="eastAsia" w:ascii="黑体" w:hAnsi="黑体" w:eastAsia="黑体" w:cs="仿宋_GB2312"/>
                <w:sz w:val="30"/>
                <w:szCs w:val="30"/>
              </w:rPr>
              <w:t>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仿宋_GB2312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仿宋_GB2312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  <w:lang w:eastAsia="zh-CN"/>
              </w:rPr>
              <w:t>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7.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乡镇（街道）老年学校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能够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成为当地老年教育信息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教学、指导中心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发挥在当地基层老年教育中的示范带头作用。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22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48.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结合本地老年教育发展情况，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开展和组织地区性老年教学经验交流，引领和推动本地区老年教育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迈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上新台阶。</w:t>
            </w:r>
            <w:bookmarkStart w:id="0" w:name="_GoBack"/>
            <w:bookmarkEnd w:id="0"/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22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49.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帮助本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区域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内村（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居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）老年学校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（教学点）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培训管理人员及教师，为基层校培训提供师资、场所、教材等。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50.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指导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村（居）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老年学校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（分校或教学点）建设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为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不断扩大老年教育覆盖面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发挥作用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8375D6C-3CF7-4153-BF11-A9F819AF367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85D37F5-1ED1-4960-AF5F-CD829605284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920B582-F514-4EC3-AE81-6CB8E36D4E1A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2BA38125-E6BF-45B4-A2FC-80A7BAC1538F}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MDYwOTc3YTc4YjVmZDNmMTA4OTc5YTVkNTkwMTgifQ=="/>
  </w:docVars>
  <w:rsids>
    <w:rsidRoot w:val="2C422A8E"/>
    <w:rsid w:val="2C42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5402</Words>
  <Characters>5766</Characters>
  <Lines>0</Lines>
  <Paragraphs>0</Paragraphs>
  <TotalTime>1</TotalTime>
  <ScaleCrop>false</ScaleCrop>
  <LinksUpToDate>false</LinksUpToDate>
  <CharactersWithSpaces>6128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2023-05-19T08:40:00Z</dcterms:created>
  <dc:creator>＇Lee</dc:creator>
  <cp:lastModifiedBy>＇Lee</cp:lastModifiedBy>
  <dcterms:modified xsi:type="dcterms:W3CDTF">2023-05-19T08:41:40Z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25E27A5496C1426493EF69CE99024184_11</vt:lpwstr>
  </property>
</Properties>
</file>